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564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462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9808;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廊坊市香河县文学艺术界联合会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jc w:val="center"/>
        <w:rPr>
          <w:rFonts w:ascii="黑体" w:hAnsi="黑体" w:eastAsia="黑体" w:cs="黑体"/>
          <w:sz w:val="56"/>
          <w:szCs w:val="7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4" w:type="first"/>
          <w:footerReference r:id="rId16" w:type="first"/>
          <w:headerReference r:id="rId13" w:type="default"/>
          <w:footerReference r:id="rId1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142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142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focussize="0,0" r:id="rId31"/>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1、文联办公室职能职责: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负责文联机关的内外联系和综合协调工作;协助文联领</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导处理机关日常工作,协调、管理好机关内部事务,调查掌握全县工作情况,并提出抓好文联工作和各文艺协会工作的意见和建议;负责文联会务组织、起草文联综合性文稿，收集、编发工作信息（简报），负责文件收发、登记、传阅、档案、</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印章、行政、后勤管理及接待工作。购置、发放和管理好各种办公设备和用品。督促、检查文联工作方针、政策和各项工作任务的贯彻落实情况，督办领导安排和重大工作事项；</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2、文联组联部职能职责: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根据中央、省、市党委和县委的有关方针、政策部署统一编务人员的思想和认识，保证各级党委政府的决策部署，在组联部正确贯彻实施: 负责书刊稿费的发放；完成领导交办的其它工作任务。协调和联系各文艺协会的工作，并掌握了解情况；坚持正确的舆论导向，围绕县委政府打造“文化名县”把书刊（物）办成弘扬社会主义先进文化的阵地，宣传香河的窗口，培养文艺人才的沃土；贯彻好文艺的“二为”方向和“双百”方针，以加快香河县文学艺术人才的培养为目标，出作品、出精品；突出时代特征、民族特色、地方特色三者有机结合，使书刊（物）既有时代感又有自己的特色；组织开展好各类文学艺术的创作、培训（笔会）等活动；组织举办美术书法、摄影、民间艺术等作品的展出；负责来稿的登记、分发、书刊的发行及稿酬的计算</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年度本部门决算汇编范围的独立核算单位（以下简称“单位”）共1个，具体情况如下：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103"/>
        <w:gridCol w:w="198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1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510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1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167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5103"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廊坊市香河县文学艺术界联合会</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198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参公事业单位</w:t>
            </w:r>
          </w:p>
        </w:tc>
        <w:tc>
          <w:tcPr>
            <w:tcW w:w="167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5103" w:type="dxa"/>
          </w:tcPr>
          <w:p>
            <w:pPr>
              <w:spacing w:line="560" w:lineRule="exact"/>
              <w:rPr>
                <w:rFonts w:ascii="仿宋_GB2312" w:hAnsi="Calibri" w:eastAsia="仿宋_GB2312" w:cs="ArialUnicodeMS"/>
                <w:kern w:val="0"/>
                <w:sz w:val="28"/>
                <w:szCs w:val="28"/>
              </w:rPr>
            </w:pPr>
          </w:p>
        </w:tc>
        <w:tc>
          <w:tcPr>
            <w:tcW w:w="1985" w:type="dxa"/>
          </w:tcPr>
          <w:p>
            <w:pPr>
              <w:spacing w:line="560" w:lineRule="exact"/>
              <w:jc w:val="center"/>
              <w:rPr>
                <w:rFonts w:ascii="仿宋_GB2312" w:hAnsi="Calibri" w:eastAsia="仿宋_GB2312" w:cs="ArialUnicodeMS"/>
                <w:kern w:val="0"/>
                <w:sz w:val="28"/>
                <w:szCs w:val="28"/>
              </w:rPr>
            </w:pPr>
          </w:p>
        </w:tc>
        <w:tc>
          <w:tcPr>
            <w:tcW w:w="167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5103" w:type="dxa"/>
          </w:tcPr>
          <w:p>
            <w:pPr>
              <w:spacing w:line="560" w:lineRule="exact"/>
              <w:rPr>
                <w:rFonts w:ascii="仿宋_GB2312" w:hAnsi="Calibri" w:eastAsia="仿宋_GB2312" w:cs="ArialUnicodeMS"/>
                <w:kern w:val="0"/>
                <w:sz w:val="28"/>
                <w:szCs w:val="28"/>
              </w:rPr>
            </w:pPr>
          </w:p>
        </w:tc>
        <w:tc>
          <w:tcPr>
            <w:tcW w:w="1985" w:type="dxa"/>
          </w:tcPr>
          <w:p>
            <w:pPr>
              <w:spacing w:line="560" w:lineRule="exact"/>
              <w:jc w:val="center"/>
              <w:rPr>
                <w:rFonts w:ascii="仿宋_GB2312" w:hAnsi="Calibri" w:eastAsia="仿宋_GB2312" w:cs="ArialUnicodeMS"/>
                <w:kern w:val="0"/>
                <w:sz w:val="28"/>
                <w:szCs w:val="28"/>
              </w:rPr>
            </w:pPr>
          </w:p>
        </w:tc>
        <w:tc>
          <w:tcPr>
            <w:tcW w:w="167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17"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5103"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198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167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9" w:type="first"/>
          <w:headerReference r:id="rId17" w:type="default"/>
          <w:footerReference r:id="rId18"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20"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4972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4972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focussize="0,0" r:id="rId31"/>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本部门2019年度收入总计287.86万元。与2018年度决算相比，收入增加</w:t>
      </w:r>
      <w:r>
        <w:rPr>
          <w:rFonts w:ascii="仿宋_GB2312" w:hAnsi="Times New Roman" w:eastAsia="仿宋_GB2312" w:cs="DengXian-Regular"/>
          <w:sz w:val="32"/>
          <w:szCs w:val="32"/>
        </w:rPr>
        <w:t>62.23</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27.58</w:t>
      </w:r>
      <w:r>
        <w:rPr>
          <w:rFonts w:hint="eastAsia" w:ascii="仿宋_GB2312" w:hAnsi="Times New Roman" w:eastAsia="仿宋_GB2312" w:cs="DengXian-Regular"/>
          <w:sz w:val="32"/>
          <w:szCs w:val="32"/>
        </w:rPr>
        <w:t>%，主要原因是预算增加，本级横向拨入款增加；2019年度支出总计</w:t>
      </w:r>
      <w:r>
        <w:rPr>
          <w:rFonts w:ascii="仿宋_GB2312" w:hAnsi="Times New Roman" w:eastAsia="仿宋_GB2312" w:cs="DengXian-Regular"/>
          <w:sz w:val="32"/>
          <w:szCs w:val="32"/>
        </w:rPr>
        <w:t>276.51</w:t>
      </w:r>
      <w:r>
        <w:rPr>
          <w:rFonts w:hint="eastAsia" w:ascii="仿宋_GB2312" w:hAnsi="Times New Roman" w:eastAsia="仿宋_GB2312" w:cs="DengXian-Regular"/>
          <w:sz w:val="32"/>
          <w:szCs w:val="32"/>
        </w:rPr>
        <w:t>万元，与2018年度决算相比，支出增加</w:t>
      </w:r>
      <w:r>
        <w:rPr>
          <w:rFonts w:ascii="仿宋_GB2312" w:hAnsi="Times New Roman" w:eastAsia="仿宋_GB2312" w:cs="DengXian-Regular"/>
          <w:sz w:val="32"/>
          <w:szCs w:val="32"/>
        </w:rPr>
        <w:t>81.44</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41.75</w:t>
      </w:r>
      <w:r>
        <w:rPr>
          <w:rFonts w:hint="eastAsia" w:ascii="仿宋_GB2312" w:hAnsi="Times New Roman" w:eastAsia="仿宋_GB2312" w:cs="DengXian-Regular"/>
          <w:sz w:val="32"/>
          <w:szCs w:val="32"/>
        </w:rPr>
        <w:t>%，主要原因是增加预算项目，增加2名人员。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w:t>
      </w:r>
      <w:r>
        <w:rPr>
          <w:rFonts w:ascii="仿宋_GB2312" w:hAnsi="Times New Roman" w:eastAsia="仿宋_GB2312" w:cs="DengXian-Regular"/>
          <w:sz w:val="32"/>
          <w:szCs w:val="32"/>
        </w:rPr>
        <w:t>287.86</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236.66</w:t>
      </w:r>
      <w:r>
        <w:rPr>
          <w:rFonts w:hint="eastAsia" w:ascii="仿宋_GB2312" w:hAnsi="Times New Roman" w:eastAsia="仿宋_GB2312" w:cs="DengXian-Regular"/>
          <w:sz w:val="32"/>
          <w:szCs w:val="32"/>
        </w:rPr>
        <w:t>万元，占82.21%；事业收入0万元，占0%；经营收入0万元，占0%；其他收入</w:t>
      </w:r>
      <w:r>
        <w:rPr>
          <w:rFonts w:ascii="仿宋_GB2312" w:hAnsi="Times New Roman" w:eastAsia="仿宋_GB2312" w:cs="DengXian-Regular"/>
          <w:sz w:val="32"/>
          <w:szCs w:val="32"/>
        </w:rPr>
        <w:t>51.20</w:t>
      </w:r>
      <w:r>
        <w:rPr>
          <w:rFonts w:hint="eastAsia" w:ascii="仿宋_GB2312" w:hAnsi="Times New Roman" w:eastAsia="仿宋_GB2312" w:cs="DengXian-Regular"/>
          <w:sz w:val="32"/>
          <w:szCs w:val="32"/>
        </w:rPr>
        <w:t>万元，占17.79%。如图所示</w:t>
      </w:r>
    </w:p>
    <w:p>
      <w:pPr>
        <w:adjustRightInd w:val="0"/>
        <w:snapToGrid w:val="0"/>
        <w:spacing w:line="580" w:lineRule="exact"/>
        <w:ind w:firstLine="1260" w:firstLineChars="600"/>
        <w:rPr>
          <w:rFonts w:ascii="仿宋_GB2312" w:hAnsi="Times New Roman" w:eastAsia="仿宋_GB2312" w:cs="DengXian-Regular"/>
          <w:sz w:val="32"/>
          <w:szCs w:val="32"/>
        </w:rPr>
      </w:pPr>
      <w:r>
        <w:drawing>
          <wp:anchor distT="0" distB="0" distL="114300" distR="114300" simplePos="0" relativeHeight="251656192" behindDoc="0" locked="0" layoutInCell="1" allowOverlap="1">
            <wp:simplePos x="0" y="0"/>
            <wp:positionH relativeFrom="column">
              <wp:posOffset>570865</wp:posOffset>
            </wp:positionH>
            <wp:positionV relativeFrom="paragraph">
              <wp:posOffset>5715</wp:posOffset>
            </wp:positionV>
            <wp:extent cx="4572000" cy="2743200"/>
            <wp:effectExtent l="0" t="0" r="0" b="0"/>
            <wp:wrapSquare wrapText="bothSides"/>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rPr>
          <w:rFonts w:ascii="仿宋_GB2312" w:hAnsi="Times New Roman" w:eastAsia="仿宋_GB2312" w:cs="DengXian-Regular"/>
          <w:sz w:val="32"/>
          <w:szCs w:val="32"/>
        </w:rPr>
      </w:pPr>
    </w:p>
    <w:p>
      <w:pPr>
        <w:rPr>
          <w:rFonts w:ascii="仿宋_GB2312" w:hAnsi="Times New Roman" w:eastAsia="仿宋_GB2312" w:cs="DengXian-Regular"/>
          <w:sz w:val="32"/>
          <w:szCs w:val="32"/>
        </w:rPr>
      </w:pPr>
    </w:p>
    <w:p>
      <w:pPr>
        <w:rPr>
          <w:rFonts w:ascii="仿宋_GB2312" w:hAnsi="Times New Roman" w:eastAsia="仿宋_GB2312" w:cs="DengXian-Regular"/>
          <w:sz w:val="32"/>
          <w:szCs w:val="32"/>
        </w:rPr>
      </w:pPr>
    </w:p>
    <w:p>
      <w:pPr>
        <w:tabs>
          <w:tab w:val="left" w:pos="3109"/>
        </w:tabs>
        <w:rPr>
          <w:rFonts w:ascii="仿宋_GB2312" w:hAnsi="Times New Roman" w:eastAsia="仿宋_GB2312" w:cs="DengXian-Regular"/>
          <w:sz w:val="32"/>
          <w:szCs w:val="32"/>
        </w:rPr>
      </w:pPr>
      <w:r>
        <w:rPr>
          <w:rFonts w:ascii="仿宋_GB2312" w:hAnsi="Times New Roman" w:eastAsia="仿宋_GB2312" w:cs="DengXian-Regular"/>
          <w:sz w:val="32"/>
          <w:szCs w:val="32"/>
        </w:rPr>
        <w:tab/>
      </w:r>
      <w:r>
        <w:rPr>
          <w:rFonts w:hint="eastAsia" w:ascii="仿宋_GB2312" w:hAnsi="Times New Roman" w:eastAsia="仿宋_GB2312" w:cs="DengXian-Regular"/>
          <w:sz w:val="32"/>
          <w:szCs w:val="32"/>
        </w:rPr>
        <w:t>图1：收入构成情况</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76.51万元，其中：基本支出</w:t>
      </w:r>
      <w:r>
        <w:rPr>
          <w:rFonts w:ascii="仿宋_GB2312" w:hAnsi="Times New Roman" w:eastAsia="仿宋_GB2312" w:cs="DengXian-Regular"/>
          <w:sz w:val="32"/>
          <w:szCs w:val="32"/>
        </w:rPr>
        <w:t>268.51</w:t>
      </w:r>
      <w:r>
        <w:rPr>
          <w:rFonts w:hint="eastAsia" w:ascii="仿宋_GB2312" w:hAnsi="Times New Roman" w:eastAsia="仿宋_GB2312" w:cs="DengXian-Regular"/>
          <w:sz w:val="32"/>
          <w:szCs w:val="32"/>
        </w:rPr>
        <w:t>万元，占97%；项目支出</w:t>
      </w:r>
      <w:r>
        <w:rPr>
          <w:rFonts w:ascii="仿宋_GB2312" w:hAnsi="Times New Roman" w:eastAsia="仿宋_GB2312" w:cs="DengXian-Regular"/>
          <w:sz w:val="32"/>
          <w:szCs w:val="32"/>
        </w:rPr>
        <w:t>8.00</w:t>
      </w:r>
      <w:r>
        <w:rPr>
          <w:rFonts w:hint="eastAsia" w:ascii="仿宋_GB2312" w:hAnsi="Times New Roman" w:eastAsia="仿宋_GB2312" w:cs="DengXian-Regular"/>
          <w:sz w:val="32"/>
          <w:szCs w:val="32"/>
        </w:rPr>
        <w:t>万元，占3%；经营支出0万元，占0%。如图所示：</w:t>
      </w:r>
    </w:p>
    <w:p>
      <w:pPr>
        <w:adjustRightInd w:val="0"/>
        <w:snapToGrid w:val="0"/>
        <w:spacing w:line="580" w:lineRule="exact"/>
        <w:ind w:firstLine="1260" w:firstLineChars="600"/>
        <w:rPr>
          <w:rFonts w:ascii="仿宋_GB2312" w:hAnsi="Times New Roman" w:eastAsia="仿宋_GB2312" w:cs="DengXian-Regular"/>
          <w:sz w:val="32"/>
          <w:szCs w:val="32"/>
        </w:rPr>
      </w:pPr>
      <w:r>
        <w:drawing>
          <wp:anchor distT="0" distB="0" distL="114300" distR="114300" simplePos="0" relativeHeight="251661312" behindDoc="0" locked="0" layoutInCell="1" allowOverlap="1">
            <wp:simplePos x="0" y="0"/>
            <wp:positionH relativeFrom="column">
              <wp:posOffset>520700</wp:posOffset>
            </wp:positionH>
            <wp:positionV relativeFrom="paragraph">
              <wp:posOffset>138430</wp:posOffset>
            </wp:positionV>
            <wp:extent cx="4572000" cy="2743200"/>
            <wp:effectExtent l="0" t="0" r="0" b="0"/>
            <wp:wrapSquare wrapText="bothSides"/>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outlineLvl w:val="1"/>
        <w:rPr>
          <w:rFonts w:ascii="黑体" w:hAnsi="Calibri" w:eastAsia="黑体" w:cs="Times New Roman"/>
          <w:b/>
          <w:bCs/>
          <w:sz w:val="32"/>
          <w:szCs w:val="32"/>
        </w:rPr>
      </w:pPr>
      <w:r>
        <w:rPr>
          <w:rFonts w:ascii="黑体" w:hAnsi="Calibri" w:eastAsia="黑体" w:cs="Times New Roman"/>
          <w:b/>
          <w:bCs/>
          <w:sz w:val="32"/>
          <w:szCs w:val="32"/>
        </w:rPr>
        <mc:AlternateContent>
          <mc:Choice Requires="wps">
            <w:drawing>
              <wp:anchor distT="0" distB="0" distL="114300" distR="114300" simplePos="0" relativeHeight="251642880" behindDoc="1" locked="0" layoutInCell="1" allowOverlap="1">
                <wp:simplePos x="0" y="0"/>
                <wp:positionH relativeFrom="column">
                  <wp:posOffset>1113790</wp:posOffset>
                </wp:positionH>
                <wp:positionV relativeFrom="paragraph">
                  <wp:posOffset>256540</wp:posOffset>
                </wp:positionV>
                <wp:extent cx="3314065" cy="483235"/>
                <wp:effectExtent l="0" t="0" r="635" b="0"/>
                <wp:wrapNone/>
                <wp:docPr id="30" name="文本框 30"/>
                <wp:cNvGraphicFramePr/>
                <a:graphic xmlns:a="http://schemas.openxmlformats.org/drawingml/2006/main">
                  <a:graphicData uri="http://schemas.microsoft.com/office/word/2010/wordprocessingShape">
                    <wps:wsp>
                      <wps:cNvSpPr txBox="1"/>
                      <wps:spPr>
                        <a:xfrm>
                          <a:off x="0" y="0"/>
                          <a:ext cx="3314323" cy="483249"/>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2</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7pt;margin-top:20.2pt;height:38.05pt;width:260.95pt;z-index:-251673600;mso-width-relative:page;mso-height-relative:page;" fillcolor="#FFFFFF" filled="t" stroked="f" coordsize="21600,21600" o:gfxdata="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IdcnHVAAAACgEA&#10;AA8AAAAAAAAAAQAgAAAAIgAAAGRycy9kb3ducmV2LnhtbFBLAQIUABQAAAAIAIdO4kC8zE25VgIA&#10;AJ8EAAAOAAAAAAAAAAEAIAAAACQBAABkcnMvZTJvRG9jLnhtbFBLBQYAAAAABgAGAFkBAADsBQAA&#10;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2</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snapToGrid w:val="0"/>
        <w:spacing w:line="520" w:lineRule="exact"/>
        <w:ind w:firstLine="640" w:firstLineChars="200"/>
        <w:rPr>
          <w:rFonts w:ascii="仿宋_GB2312" w:hAnsi="仿宋" w:eastAsia="仿宋_GB2312"/>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ascii="仿宋_GB2312" w:hAnsi="Times New Roman" w:eastAsia="仿宋_GB2312" w:cs="DengXian-Regular"/>
          <w:sz w:val="32"/>
          <w:szCs w:val="32"/>
        </w:rPr>
        <w:t>236.66</w:t>
      </w:r>
      <w:r>
        <w:rPr>
          <w:rFonts w:hint="eastAsia" w:ascii="仿宋_GB2312" w:hAnsi="Times New Roman" w:eastAsia="仿宋_GB2312" w:cs="DengXian-Regular"/>
          <w:sz w:val="32"/>
          <w:szCs w:val="32"/>
        </w:rPr>
        <w:t>万元,比2018年度增加</w:t>
      </w:r>
      <w:r>
        <w:rPr>
          <w:rFonts w:ascii="仿宋_GB2312" w:hAnsi="Times New Roman" w:eastAsia="仿宋_GB2312" w:cs="DengXian-Regular"/>
          <w:sz w:val="32"/>
          <w:szCs w:val="32"/>
        </w:rPr>
        <w:t>47.23</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24.93</w:t>
      </w:r>
      <w:r>
        <w:rPr>
          <w:rFonts w:hint="eastAsia" w:ascii="仿宋_GB2312" w:hAnsi="Times New Roman" w:eastAsia="仿宋_GB2312" w:cs="DengXian-Regular"/>
          <w:sz w:val="32"/>
          <w:szCs w:val="32"/>
        </w:rPr>
        <w:t>%，主要是人员增加，预算增加；本年支出</w:t>
      </w:r>
      <w:r>
        <w:rPr>
          <w:rFonts w:ascii="仿宋_GB2312" w:hAnsi="Times New Roman" w:eastAsia="仿宋_GB2312" w:cs="DengXian-Regular"/>
          <w:sz w:val="32"/>
          <w:szCs w:val="32"/>
        </w:rPr>
        <w:t>237.38</w:t>
      </w:r>
      <w:r>
        <w:rPr>
          <w:rFonts w:hint="eastAsia" w:ascii="仿宋_GB2312" w:hAnsi="Times New Roman" w:eastAsia="仿宋_GB2312" w:cs="DengXian-Regular"/>
          <w:sz w:val="32"/>
          <w:szCs w:val="32"/>
        </w:rPr>
        <w:t>万元，增加</w:t>
      </w:r>
      <w:r>
        <w:rPr>
          <w:rFonts w:ascii="仿宋_GB2312" w:hAnsi="Times New Roman" w:eastAsia="仿宋_GB2312" w:cs="DengXian-Regular"/>
          <w:sz w:val="32"/>
          <w:szCs w:val="32"/>
        </w:rPr>
        <w:t>47.95</w:t>
      </w:r>
      <w:r>
        <w:rPr>
          <w:rFonts w:hint="eastAsia" w:ascii="仿宋_GB2312" w:hAnsi="Times New Roman" w:eastAsia="仿宋_GB2312" w:cs="DengXian-Regular"/>
          <w:sz w:val="32"/>
          <w:szCs w:val="32"/>
        </w:rPr>
        <w:t>万元，增长25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31%，主要是</w:t>
      </w:r>
      <w:r>
        <w:rPr>
          <w:rFonts w:hint="eastAsia" w:ascii="仿宋_GB2312" w:hAnsi="仿宋" w:eastAsia="仿宋_GB2312"/>
          <w:sz w:val="32"/>
          <w:szCs w:val="32"/>
        </w:rPr>
        <w:t>增加了项目支出，增加了2个人员以及对应的人员经费。</w: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420" w:firstLineChars="200"/>
        <w:rPr>
          <w:rFonts w:ascii="楷体_GB2312" w:hAnsi="Times New Roman" w:eastAsia="楷体_GB2312" w:cs="DengXian-Bold"/>
          <w:b/>
          <w:bCs/>
          <w:sz w:val="32"/>
          <w:szCs w:val="32"/>
        </w:rPr>
      </w:pPr>
      <w:r>
        <w:drawing>
          <wp:anchor distT="0" distB="0" distL="114300" distR="114300" simplePos="0" relativeHeight="251667456" behindDoc="0" locked="0" layoutInCell="1" allowOverlap="1">
            <wp:simplePos x="0" y="0"/>
            <wp:positionH relativeFrom="column">
              <wp:posOffset>854075</wp:posOffset>
            </wp:positionH>
            <wp:positionV relativeFrom="paragraph">
              <wp:posOffset>149860</wp:posOffset>
            </wp:positionV>
            <wp:extent cx="4287520" cy="2244090"/>
            <wp:effectExtent l="0" t="0" r="17780" b="3810"/>
            <wp:wrapSquare wrapText="bothSides"/>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560" w:firstLineChars="200"/>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图3：收支对比</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w:t>
      </w:r>
      <w:bookmarkStart w:id="0" w:name="_Hlk52056174"/>
      <w:r>
        <w:rPr>
          <w:rFonts w:hint="eastAsia" w:ascii="仿宋_GB2312" w:hAnsi="Times New Roman" w:eastAsia="仿宋_GB2312" w:cs="DengXian-Regular"/>
          <w:sz w:val="32"/>
          <w:szCs w:val="32"/>
        </w:rPr>
        <w:t>一般公共预算</w:t>
      </w:r>
      <w:bookmarkEnd w:id="0"/>
      <w:bookmarkStart w:id="1" w:name="_Hlk52056159"/>
      <w:r>
        <w:rPr>
          <w:rFonts w:hint="eastAsia" w:ascii="仿宋_GB2312" w:hAnsi="Times New Roman" w:eastAsia="仿宋_GB2312" w:cs="DengXian-Regular"/>
          <w:sz w:val="32"/>
          <w:szCs w:val="32"/>
        </w:rPr>
        <w:t>财政拨款</w:t>
      </w:r>
      <w:bookmarkEnd w:id="1"/>
      <w:r>
        <w:rPr>
          <w:rFonts w:hint="eastAsia" w:ascii="仿宋_GB2312" w:hAnsi="Times New Roman" w:eastAsia="仿宋_GB2312" w:cs="DengXian-Regular"/>
          <w:sz w:val="32"/>
          <w:szCs w:val="32"/>
        </w:rPr>
        <w:t>收入</w:t>
      </w:r>
      <w:r>
        <w:rPr>
          <w:rFonts w:ascii="仿宋_GB2312" w:hAnsi="Times New Roman" w:eastAsia="仿宋_GB2312" w:cs="DengXian-Regular"/>
          <w:sz w:val="32"/>
          <w:szCs w:val="32"/>
        </w:rPr>
        <w:t>236.66</w:t>
      </w:r>
      <w:r>
        <w:rPr>
          <w:rFonts w:hint="eastAsia" w:ascii="仿宋_GB2312" w:hAnsi="Times New Roman" w:eastAsia="仿宋_GB2312" w:cs="DengXian-Regular"/>
          <w:sz w:val="32"/>
          <w:szCs w:val="32"/>
        </w:rPr>
        <w:t>万元，完成年初预算的109.12%（如图4）,比年初预算增加</w:t>
      </w:r>
      <w:r>
        <w:rPr>
          <w:rFonts w:ascii="仿宋_GB2312" w:hAnsi="Times New Roman" w:eastAsia="仿宋_GB2312" w:cs="DengXian-Regular"/>
          <w:sz w:val="32"/>
          <w:szCs w:val="32"/>
        </w:rPr>
        <w:t>19.78</w:t>
      </w:r>
      <w:r>
        <w:rPr>
          <w:rFonts w:hint="eastAsia" w:ascii="仿宋_GB2312" w:hAnsi="Times New Roman" w:eastAsia="仿宋_GB2312" w:cs="DengXian-Regular"/>
          <w:sz w:val="32"/>
          <w:szCs w:val="32"/>
        </w:rPr>
        <w:t>万元，决算数大于预算数主要原因是增加了2名人员；本年一般公共预算财政拨款支出</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37.88万元，完成年初预算的127.49%,比年初预算增加</w:t>
      </w:r>
      <w:r>
        <w:rPr>
          <w:rFonts w:ascii="仿宋_GB2312" w:hAnsi="Times New Roman" w:eastAsia="仿宋_GB2312" w:cs="DengXian-Regular"/>
          <w:sz w:val="32"/>
          <w:szCs w:val="32"/>
        </w:rPr>
        <w:t>59.63</w:t>
      </w:r>
      <w:r>
        <w:rPr>
          <w:rFonts w:hint="eastAsia" w:ascii="仿宋_GB2312" w:hAnsi="Times New Roman" w:eastAsia="仿宋_GB2312" w:cs="DengXian-Regular"/>
          <w:sz w:val="32"/>
          <w:szCs w:val="32"/>
        </w:rPr>
        <w:t>万元，决算数大于预算数主要原因是主要是增加了人员。</w:t>
      </w:r>
    </w:p>
    <w:p>
      <w:pPr>
        <w:adjustRightInd w:val="0"/>
        <w:snapToGrid w:val="0"/>
        <w:spacing w:line="580" w:lineRule="exact"/>
        <w:ind w:firstLine="420" w:firstLineChars="200"/>
        <w:rPr>
          <w:rFonts w:ascii="仿宋_GB2312" w:hAnsi="Times New Roman" w:eastAsia="仿宋_GB2312" w:cs="DengXian-Regular"/>
          <w:sz w:val="32"/>
          <w:szCs w:val="32"/>
        </w:rPr>
      </w:pPr>
      <w:r>
        <w:drawing>
          <wp:anchor distT="0" distB="0" distL="114300" distR="114300" simplePos="0" relativeHeight="251669504" behindDoc="0" locked="0" layoutInCell="1" allowOverlap="1">
            <wp:simplePos x="0" y="0"/>
            <wp:positionH relativeFrom="column">
              <wp:posOffset>688340</wp:posOffset>
            </wp:positionH>
            <wp:positionV relativeFrom="paragraph">
              <wp:posOffset>7620</wp:posOffset>
            </wp:positionV>
            <wp:extent cx="4223385" cy="1731645"/>
            <wp:effectExtent l="0" t="0" r="5715" b="1905"/>
            <wp:wrapNone/>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rPr>
          <w:rFonts w:ascii="仿宋_GB2312" w:hAnsi="Times New Roman" w:eastAsia="仿宋_GB2312" w:cs="DengXian-Regular"/>
          <w:sz w:val="32"/>
          <w:szCs w:val="32"/>
        </w:rPr>
      </w:pPr>
    </w:p>
    <w:p>
      <w:pPr>
        <w:adjustRightInd w:val="0"/>
        <w:snapToGrid w:val="0"/>
        <w:spacing w:line="580" w:lineRule="exact"/>
        <w:jc w:val="center"/>
        <w:rPr>
          <w:rFonts w:ascii="仿宋_GB2312" w:hAnsi="Times New Roman" w:eastAsia="仿宋_GB2312" w:cs="DengXian-Regular"/>
          <w:sz w:val="32"/>
          <w:szCs w:val="32"/>
        </w:rPr>
      </w:pPr>
      <w:r>
        <w:rPr>
          <w:rFonts w:hint="eastAsia" w:ascii="仿宋_GB2312" w:hAnsi="Times New Roman" w:eastAsia="仿宋_GB2312" w:cs="DengXian-Regular"/>
          <w:sz w:val="32"/>
          <w:szCs w:val="32"/>
        </w:rPr>
        <w:t>图4：财政拨款收支与年初预算数对比</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ascii="仿宋_GB2312" w:hAnsi="Times New Roman" w:eastAsia="仿宋_GB2312" w:cs="DengXian-Regular"/>
          <w:sz w:val="32"/>
          <w:szCs w:val="32"/>
        </w:rPr>
        <w:t>237.38</w:t>
      </w:r>
      <w:r>
        <w:rPr>
          <w:rFonts w:hint="eastAsia" w:ascii="仿宋_GB2312" w:hAnsi="Times New Roman" w:eastAsia="仿宋_GB2312" w:cs="DengXian-Regular"/>
          <w:sz w:val="32"/>
          <w:szCs w:val="32"/>
        </w:rPr>
        <w:t>万元，主要用于以下方面一般公共服务（类）支出</w:t>
      </w:r>
      <w:r>
        <w:rPr>
          <w:rFonts w:ascii="仿宋_GB2312" w:hAnsi="Times New Roman" w:eastAsia="仿宋_GB2312" w:cs="DengXian-Regular"/>
          <w:sz w:val="32"/>
          <w:szCs w:val="32"/>
        </w:rPr>
        <w:t>15.28</w:t>
      </w:r>
      <w:r>
        <w:rPr>
          <w:rFonts w:hint="eastAsia" w:ascii="仿宋_GB2312" w:hAnsi="Times New Roman" w:eastAsia="仿宋_GB2312" w:cs="DengXian-Regular"/>
          <w:sz w:val="32"/>
          <w:szCs w:val="32"/>
        </w:rPr>
        <w:t>万元，占6.44%，；文化旅游体育与传媒支出</w:t>
      </w:r>
      <w:r>
        <w:rPr>
          <w:rFonts w:ascii="仿宋_GB2312" w:hAnsi="Times New Roman" w:eastAsia="仿宋_GB2312" w:cs="DengXian-Regular"/>
          <w:sz w:val="32"/>
          <w:szCs w:val="32"/>
        </w:rPr>
        <w:t>220.86</w:t>
      </w:r>
      <w:r>
        <w:rPr>
          <w:rFonts w:hint="eastAsia" w:ascii="仿宋_GB2312" w:hAnsi="Times New Roman" w:eastAsia="仿宋_GB2312" w:cs="DengXian-Regular"/>
          <w:sz w:val="32"/>
          <w:szCs w:val="32"/>
        </w:rPr>
        <w:t>万元，占93.04%；住房保障（类）支出1.24万元，占 5.22%。</w:t>
      </w:r>
    </w:p>
    <w:p>
      <w:pPr>
        <w:adjustRightInd w:val="0"/>
        <w:snapToGrid w:val="0"/>
        <w:spacing w:line="580" w:lineRule="exact"/>
        <w:rPr>
          <w:rFonts w:ascii="楷体_GB2312" w:hAnsi="Times New Roman" w:eastAsia="楷体_GB2312" w:cs="DengXian-Bold"/>
          <w:b/>
          <w:bCs/>
          <w:sz w:val="32"/>
          <w:szCs w:val="32"/>
        </w:rPr>
      </w:pPr>
      <w:r>
        <w:drawing>
          <wp:anchor distT="0" distB="0" distL="114300" distR="114300" simplePos="0" relativeHeight="251672576" behindDoc="0" locked="0" layoutInCell="1" allowOverlap="1">
            <wp:simplePos x="0" y="0"/>
            <wp:positionH relativeFrom="column">
              <wp:posOffset>901700</wp:posOffset>
            </wp:positionH>
            <wp:positionV relativeFrom="paragraph">
              <wp:posOffset>107950</wp:posOffset>
            </wp:positionV>
            <wp:extent cx="4572000" cy="2743200"/>
            <wp:effectExtent l="0" t="0" r="0" b="0"/>
            <wp:wrapThrough wrapText="bothSides">
              <wp:wrapPolygon>
                <wp:start x="0" y="0"/>
                <wp:lineTo x="0" y="21450"/>
                <wp:lineTo x="21510" y="21450"/>
                <wp:lineTo x="21510" y="0"/>
                <wp:lineTo x="0" y="0"/>
              </wp:wrapPolygon>
            </wp:wrapThrough>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r>
        <w:rPr>
          <w:rFonts w:ascii="楷体_GB2312" w:hAnsi="Times New Roman" w:eastAsia="楷体_GB2312" w:cs="DengXian-Bold"/>
          <w:b/>
          <w:bCs/>
          <w:sz w:val="32"/>
          <w:szCs w:val="32"/>
        </w:rPr>
        <mc:AlternateContent>
          <mc:Choice Requires="wps">
            <w:drawing>
              <wp:anchor distT="0" distB="0" distL="114300" distR="114300" simplePos="0" relativeHeight="251650048" behindDoc="1" locked="0" layoutInCell="1" allowOverlap="1">
                <wp:simplePos x="0" y="0"/>
                <wp:positionH relativeFrom="column">
                  <wp:posOffset>1409065</wp:posOffset>
                </wp:positionH>
                <wp:positionV relativeFrom="paragraph">
                  <wp:posOffset>24130</wp:posOffset>
                </wp:positionV>
                <wp:extent cx="3576320" cy="512445"/>
                <wp:effectExtent l="0" t="0" r="5080" b="1905"/>
                <wp:wrapNone/>
                <wp:docPr id="164" name="文本框 32"/>
                <wp:cNvGraphicFramePr/>
                <a:graphic xmlns:a="http://schemas.openxmlformats.org/drawingml/2006/main">
                  <a:graphicData uri="http://schemas.microsoft.com/office/word/2010/wordprocessingShape">
                    <wps:wsp>
                      <wps:cNvSpPr txBox="1"/>
                      <wps:spPr>
                        <a:xfrm>
                          <a:off x="0" y="0"/>
                          <a:ext cx="3576320" cy="512618"/>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5</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110.95pt;margin-top:1.9pt;height:40.35pt;width:281.6pt;z-index:-251666432;mso-width-relative:page;mso-height-relative:page;" fillcolor="#FFFFFF" filled="t" stroked="f" coordsize="21600,21600" o:gfxdata="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28UGtQAAAAIAQAA&#10;DwAAAAAAAAABACAAAAAiAAAAZHJzL2Rvd25yZXYueG1sUEsBAhQAFAAAAAgAh07iQIivCatWAgAA&#10;oAQAAA4AAAAAAAAAAQAgAAAAIwEAAGRycy9lMm9Eb2MueG1sUEsFBgAAAAAGAAYAWQEAAOsFAAAA&#10;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5</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ascii="仿宋_GB2312" w:hAnsi="Times New Roman" w:eastAsia="仿宋_GB2312" w:cs="DengXian-Regular"/>
          <w:sz w:val="32"/>
          <w:szCs w:val="32"/>
        </w:rPr>
        <w:t>229.38</w:t>
      </w:r>
      <w:r>
        <w:rPr>
          <w:rFonts w:hint="eastAsia" w:ascii="仿宋_GB2312" w:hAnsi="Times New Roman" w:eastAsia="仿宋_GB2312" w:cs="DengXian-Regular"/>
          <w:sz w:val="32"/>
          <w:szCs w:val="32"/>
        </w:rPr>
        <w:t xml:space="preserve">万元，其中：人员经费 </w:t>
      </w:r>
      <w:r>
        <w:rPr>
          <w:rFonts w:ascii="仿宋_GB2312" w:hAnsi="Times New Roman" w:eastAsia="仿宋_GB2312" w:cs="DengXian-Regular"/>
          <w:sz w:val="32"/>
          <w:szCs w:val="32"/>
        </w:rPr>
        <w:t>144.25</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85.13</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ascii="仿宋_GB2312" w:hAnsi="Times New Roman" w:eastAsia="仿宋_GB2312" w:cs="DengXian-Regular"/>
          <w:sz w:val="32"/>
          <w:szCs w:val="32"/>
        </w:rPr>
        <w:t>1.94</w:t>
      </w:r>
      <w:r>
        <w:rPr>
          <w:rFonts w:hint="eastAsia" w:ascii="仿宋_GB2312" w:hAnsi="Times New Roman" w:eastAsia="仿宋_GB2312" w:cs="DengXian-Regular"/>
          <w:sz w:val="32"/>
          <w:szCs w:val="32"/>
        </w:rPr>
        <w:t>万元，完成预算的80.83%,较预算减少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万元，降低17.92%，主要是公务用车运行维护费减少；较2018年度增加</w:t>
      </w:r>
      <w:r>
        <w:rPr>
          <w:rFonts w:ascii="仿宋_GB2312" w:hAnsi="Times New Roman" w:eastAsia="仿宋_GB2312" w:cs="DengXian-Regular"/>
          <w:sz w:val="32"/>
          <w:szCs w:val="32"/>
        </w:rPr>
        <w:t>0.09</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4.83</w:t>
      </w:r>
      <w:r>
        <w:rPr>
          <w:rFonts w:hint="eastAsia" w:ascii="仿宋_GB2312" w:hAnsi="Times New Roman" w:eastAsia="仿宋_GB2312" w:cs="DengXian-Regular"/>
          <w:sz w:val="32"/>
          <w:szCs w:val="32"/>
        </w:rPr>
        <w:t>%，主要是公务车辆开支增加。具体情况如下：</w:t>
      </w:r>
    </w:p>
    <w:p>
      <w:pPr>
        <w:adjustRightInd w:val="0"/>
        <w:snapToGrid w:val="0"/>
        <w:spacing w:after="0" w:line="600" w:lineRule="exact"/>
        <w:ind w:firstLine="643"/>
        <w:rPr>
          <w:rFonts w:ascii="仿宋" w:hAnsi="仿宋" w:eastAsia="仿宋"/>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年度无因公出国（境）经费支出，较年初预算无增减变化；较201</w:t>
      </w:r>
      <w:r>
        <w:rPr>
          <w:rFonts w:hint="eastAsia" w:ascii="仿宋" w:hAnsi="仿宋" w:eastAsia="仿宋"/>
          <w:sz w:val="32"/>
          <w:szCs w:val="32"/>
          <w:lang w:val="en-US" w:eastAsia="zh-CN"/>
        </w:rPr>
        <w:t>8</w:t>
      </w:r>
      <w:r>
        <w:rPr>
          <w:rFonts w:ascii="仿宋" w:hAnsi="仿宋" w:eastAsia="仿宋"/>
          <w:sz w:val="32"/>
          <w:szCs w:val="32"/>
        </w:rPr>
        <w:t>年度决算无增减变化。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（二）公务用车购置及运行维护费支出1.94万元。</w:t>
      </w:r>
      <w:r>
        <w:rPr>
          <w:rFonts w:hint="eastAsia" w:ascii="仿宋_GB2312" w:hAnsi="Times New Roman" w:eastAsia="仿宋_GB2312" w:cs="DengXian-Regular"/>
          <w:sz w:val="32"/>
          <w:szCs w:val="32"/>
        </w:rPr>
        <w:t>本部门2019年度公务用车购置及运行维护费较预算减少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万元，降低17.92%,主要是公务用车运行维护费减少；较上年增加</w:t>
      </w:r>
      <w:r>
        <w:rPr>
          <w:rFonts w:ascii="仿宋_GB2312" w:hAnsi="Times New Roman" w:eastAsia="仿宋_GB2312" w:cs="DengXian-Regular"/>
          <w:sz w:val="32"/>
          <w:szCs w:val="32"/>
        </w:rPr>
        <w:t>0.09</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4.83</w:t>
      </w:r>
      <w:r>
        <w:rPr>
          <w:rFonts w:hint="eastAsia" w:ascii="仿宋_GB2312" w:hAnsi="Times New Roman" w:eastAsia="仿宋_GB2312" w:cs="DengXian-Regular"/>
          <w:sz w:val="32"/>
          <w:szCs w:val="32"/>
        </w:rPr>
        <w:t>%，主要是公务车辆开支增加。</w:t>
      </w:r>
      <w:r>
        <w:rPr>
          <w:rFonts w:hint="eastAsia" w:ascii="仿宋_GB2312" w:hAnsi="Times New Roman" w:eastAsia="仿宋_GB2312" w:cs="DengXian-Bold"/>
          <w:b/>
          <w:bCs/>
          <w:sz w:val="32"/>
          <w:szCs w:val="32"/>
        </w:rPr>
        <w:t>其中：</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3"/>
        <w:jc w:val="both"/>
        <w:textAlignment w:val="auto"/>
        <w:rPr>
          <w:rFonts w:ascii="仿宋" w:hAnsi="仿宋" w:eastAsia="仿宋"/>
          <w:sz w:val="32"/>
          <w:szCs w:val="32"/>
        </w:rPr>
      </w:pPr>
      <w:r>
        <w:rPr>
          <w:rFonts w:hint="eastAsia" w:ascii="仿宋_GB2312" w:hAnsi="Times New Roman" w:eastAsia="仿宋_GB2312" w:cs="DengXian-Regular"/>
          <w:b/>
          <w:sz w:val="32"/>
          <w:szCs w:val="32"/>
        </w:rPr>
        <w:t>公务用车购置费：</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年度无公务用车购置费</w:t>
      </w:r>
      <w:r>
        <w:rPr>
          <w:rFonts w:hint="eastAsia" w:ascii="仿宋" w:hAnsi="仿宋" w:eastAsia="仿宋"/>
          <w:sz w:val="32"/>
          <w:szCs w:val="32"/>
          <w:lang w:eastAsia="zh-CN"/>
        </w:rPr>
        <w:t>，</w:t>
      </w:r>
      <w:r>
        <w:rPr>
          <w:rFonts w:ascii="仿宋" w:hAnsi="仿宋" w:eastAsia="仿宋"/>
          <w:sz w:val="32"/>
          <w:szCs w:val="32"/>
        </w:rPr>
        <w:t>公务用车购置费支出较年初预算无增</w:t>
      </w:r>
      <w:r>
        <w:rPr>
          <w:rFonts w:hint="eastAsia" w:ascii="仿宋" w:hAnsi="仿宋" w:eastAsia="仿宋"/>
          <w:sz w:val="32"/>
          <w:szCs w:val="32"/>
        </w:rPr>
        <w:t>减</w:t>
      </w:r>
      <w:r>
        <w:rPr>
          <w:rFonts w:ascii="仿宋" w:hAnsi="仿宋" w:eastAsia="仿宋"/>
          <w:sz w:val="32"/>
          <w:szCs w:val="32"/>
        </w:rPr>
        <w:t>变化；较201</w:t>
      </w:r>
      <w:r>
        <w:rPr>
          <w:rFonts w:hint="eastAsia" w:ascii="仿宋" w:hAnsi="仿宋" w:eastAsia="仿宋"/>
          <w:sz w:val="32"/>
          <w:szCs w:val="32"/>
          <w:lang w:val="en-US" w:eastAsia="zh-CN"/>
        </w:rPr>
        <w:t>8</w:t>
      </w:r>
      <w:r>
        <w:rPr>
          <w:rFonts w:ascii="仿宋" w:hAnsi="仿宋" w:eastAsia="仿宋"/>
          <w:sz w:val="32"/>
          <w:szCs w:val="32"/>
        </w:rPr>
        <w:t>年度决算无增</w:t>
      </w:r>
      <w:r>
        <w:rPr>
          <w:rFonts w:hint="eastAsia" w:ascii="仿宋" w:hAnsi="仿宋" w:eastAsia="仿宋"/>
          <w:sz w:val="32"/>
          <w:szCs w:val="32"/>
        </w:rPr>
        <w:t>减</w:t>
      </w:r>
      <w:r>
        <w:rPr>
          <w:rFonts w:ascii="仿宋" w:hAnsi="仿宋" w:eastAsia="仿宋"/>
          <w:sz w:val="32"/>
          <w:szCs w:val="32"/>
        </w:rPr>
        <w:t>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本部门2019年度单位公务用车保有量1辆。公车运行维护费支出较预算减少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万元，降低17.92%,主要是公务用车运行维护费减少；较上年增加</w:t>
      </w:r>
      <w:r>
        <w:rPr>
          <w:rFonts w:ascii="仿宋_GB2312" w:hAnsi="Times New Roman" w:eastAsia="仿宋_GB2312" w:cs="DengXian-Regular"/>
          <w:sz w:val="32"/>
          <w:szCs w:val="32"/>
        </w:rPr>
        <w:t>0.09</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4.83</w:t>
      </w:r>
      <w:r>
        <w:rPr>
          <w:rFonts w:hint="eastAsia" w:ascii="仿宋_GB2312" w:hAnsi="Times New Roman" w:eastAsia="仿宋_GB2312" w:cs="DengXian-Regular"/>
          <w:sz w:val="32"/>
          <w:szCs w:val="32"/>
        </w:rPr>
        <w:t>%，主要是公务车辆开支增加。</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本部门2019年度公务接待共0批次、0人次。公务接待费支出较预算减少0万元，降低0%,主要是未发生“公务接待费用”经费支出；较上年度减少0万元，降低0%,主要是与</w:t>
      </w:r>
      <w:r>
        <w:rPr>
          <w:rFonts w:ascii="仿宋_GB2312" w:hAnsi="Times New Roman" w:eastAsia="仿宋_GB2312" w:cs="DengXian-Regular"/>
          <w:sz w:val="32"/>
          <w:szCs w:val="32"/>
        </w:rPr>
        <w:t>2018年度决算支出持平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预算绩效管理工作开展情况。</w:t>
      </w:r>
    </w:p>
    <w:p>
      <w:pPr>
        <w:widowControl/>
        <w:spacing w:after="0"/>
        <w:ind w:firstLine="641"/>
        <w:jc w:val="left"/>
        <w:rPr>
          <w:rFonts w:ascii="仿宋" w:hAnsi="仿宋" w:eastAsia="仿宋" w:cs="仿宋"/>
          <w:bCs/>
          <w:sz w:val="32"/>
          <w:szCs w:val="32"/>
        </w:rPr>
      </w:pPr>
      <w:r>
        <w:rPr>
          <w:rFonts w:hint="eastAsia"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年度县</w:t>
      </w:r>
      <w:r>
        <w:rPr>
          <w:rFonts w:hint="eastAsia" w:ascii="仿宋" w:hAnsi="仿宋" w:eastAsia="仿宋" w:cs="宋体"/>
          <w:sz w:val="32"/>
          <w:szCs w:val="32"/>
          <w:lang w:val="en-US" w:eastAsia="zh-CN"/>
        </w:rPr>
        <w:t>文联</w:t>
      </w:r>
      <w:r>
        <w:rPr>
          <w:rFonts w:hint="eastAsia" w:ascii="仿宋" w:hAnsi="仿宋" w:eastAsia="仿宋" w:cs="仿宋"/>
          <w:bCs/>
          <w:kern w:val="0"/>
          <w:sz w:val="32"/>
          <w:szCs w:val="32"/>
        </w:rPr>
        <w:t>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widowControl/>
        <w:spacing w:after="0"/>
        <w:ind w:firstLine="641"/>
        <w:jc w:val="left"/>
        <w:rPr>
          <w:rFonts w:ascii="仿宋" w:hAnsi="仿宋" w:eastAsia="仿宋" w:cs="DengXian-Regular"/>
          <w:sz w:val="32"/>
          <w:szCs w:val="32"/>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一</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是制定绩效管理自评方案，进一步明确了评价工作的指导思想、方法步骤，细化了应达到的绩效目标和相应的绩效指标，完善了绩效评价工作体系</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按照经济性、效率性、有效性的原则，定量分析与定性分析相结合的原则，真实性、科学性、规范性的原则，对重点项目制定绩效评价实施方案和绩效指标评价体系。</w:t>
      </w:r>
    </w:p>
    <w:p>
      <w:pPr>
        <w:adjustRightInd w:val="0"/>
        <w:snapToGrid w:val="0"/>
        <w:spacing w:after="0" w:line="580" w:lineRule="exact"/>
        <w:ind w:firstLine="641"/>
        <w:rPr>
          <w:rFonts w:ascii="仿宋_GB2312" w:eastAsia="仿宋_GB2312" w:cs="DengXian-Regular"/>
          <w:sz w:val="32"/>
          <w:szCs w:val="32"/>
        </w:rPr>
      </w:pPr>
      <w:r>
        <w:rPr>
          <w:rFonts w:hint="eastAsia" w:ascii="楷体" w:hAnsi="楷体" w:eastAsia="楷体" w:cs="DengXian-Regular"/>
          <w:sz w:val="32"/>
          <w:szCs w:val="32"/>
        </w:rPr>
        <w:t>（二）项目绩效</w:t>
      </w:r>
      <w:r>
        <w:rPr>
          <w:rFonts w:hint="eastAsia" w:ascii="楷体" w:hAnsi="楷体" w:eastAsia="楷体" w:cs="宋体"/>
          <w:sz w:val="32"/>
          <w:szCs w:val="32"/>
        </w:rPr>
        <w:t>自评</w:t>
      </w:r>
      <w:r>
        <w:rPr>
          <w:rFonts w:hint="eastAsia" w:ascii="楷体" w:hAnsi="楷体" w:eastAsia="楷体" w:cs="___WRD_EMBED_SUB_39"/>
          <w:sz w:val="32"/>
          <w:szCs w:val="32"/>
        </w:rPr>
        <w:t>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通过开展201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年专项项目绩效评价，我部门社会效益良好，绩效综合评价等级“优”。</w:t>
      </w:r>
    </w:p>
    <w:p>
      <w:pPr>
        <w:widowControl/>
        <w:spacing w:after="0"/>
        <w:ind w:firstLine="641"/>
        <w:jc w:val="left"/>
        <w:rPr>
          <w:rFonts w:ascii="黑体" w:hAnsi="Calibri" w:eastAsia="黑体" w:cs="Times New Roman"/>
          <w:sz w:val="32"/>
          <w:szCs w:val="32"/>
        </w:rPr>
      </w:pPr>
      <w:r>
        <w:rPr>
          <w:rFonts w:hint="eastAsia" w:ascii="楷体" w:hAnsi="楷体" w:eastAsia="楷体" w:cs="DengXian-Regular"/>
          <w:sz w:val="32"/>
          <w:szCs w:val="32"/>
        </w:rPr>
        <w:t>（三）重</w:t>
      </w:r>
      <w:r>
        <w:rPr>
          <w:rFonts w:hint="eastAsia" w:ascii="楷体" w:hAnsi="楷体" w:eastAsia="楷体" w:cs="宋体"/>
          <w:sz w:val="32"/>
          <w:szCs w:val="32"/>
        </w:rPr>
        <w:t>点</w:t>
      </w:r>
      <w:r>
        <w:rPr>
          <w:rFonts w:hint="eastAsia" w:ascii="楷体" w:hAnsi="楷体" w:eastAsia="楷体" w:cs="___WRD_EMBED_SUB_39"/>
          <w:sz w:val="32"/>
          <w:szCs w:val="32"/>
        </w:rPr>
        <w:t>项目绩效</w:t>
      </w:r>
      <w:r>
        <w:rPr>
          <w:rFonts w:hint="eastAsia" w:ascii="楷体" w:hAnsi="楷体" w:eastAsia="楷体" w:cs="宋体"/>
          <w:sz w:val="32"/>
          <w:szCs w:val="32"/>
        </w:rPr>
        <w:t>评</w:t>
      </w:r>
      <w:r>
        <w:rPr>
          <w:rFonts w:hint="eastAsia" w:ascii="楷体" w:hAnsi="楷体" w:eastAsia="楷体" w:cs="___WRD_EMBED_SUB_39"/>
          <w:sz w:val="32"/>
          <w:szCs w:val="32"/>
        </w:rPr>
        <w:t>价结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通过绩效评价，促进了项目管理水平的提高，进一步完善了规章制度；明确了各项目绩效目标，合理设置内容全面、可操作性强的绩效评价指标，达到了绩效考核的目的。</w:t>
      </w:r>
    </w:p>
    <w:p>
      <w:pPr>
        <w:keepNext/>
        <w:keepLines/>
        <w:adjustRightInd w:val="0"/>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ascii="仿宋_GB2312" w:hAnsi="Times New Roman" w:eastAsia="仿宋_GB2312" w:cs="DengXian-Regular"/>
          <w:sz w:val="32"/>
          <w:szCs w:val="32"/>
        </w:rPr>
        <w:t>85.13</w:t>
      </w:r>
      <w:r>
        <w:rPr>
          <w:rFonts w:hint="eastAsia" w:ascii="仿宋_GB2312" w:hAnsi="Times New Roman" w:eastAsia="仿宋_GB2312" w:cs="DengXian-Regular"/>
          <w:sz w:val="32"/>
          <w:szCs w:val="32"/>
        </w:rPr>
        <w:t>万元，比2018年度增加</w:t>
      </w:r>
      <w:r>
        <w:rPr>
          <w:rFonts w:ascii="仿宋_GB2312" w:hAnsi="Times New Roman" w:eastAsia="仿宋_GB2312" w:cs="DengXian-Regular"/>
          <w:sz w:val="32"/>
          <w:szCs w:val="32"/>
        </w:rPr>
        <w:t>30.65</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56.27</w:t>
      </w:r>
      <w:r>
        <w:rPr>
          <w:rFonts w:hint="eastAsia" w:ascii="仿宋_GB2312" w:hAnsi="Times New Roman" w:eastAsia="仿宋_GB2312" w:cs="DengXian-Regular"/>
          <w:sz w:val="32"/>
          <w:szCs w:val="32"/>
        </w:rPr>
        <w:t xml:space="preserve"> %。主要原因是增加预算项目。</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keepNext/>
        <w:keepLines/>
        <w:snapToGrid w:val="0"/>
        <w:spacing w:line="580" w:lineRule="exact"/>
        <w:ind w:firstLine="640" w:firstLineChars="200"/>
        <w:outlineLvl w:val="2"/>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与上年相比无变化</w:t>
      </w:r>
      <w:r>
        <w:rPr>
          <w:rFonts w:hint="eastAsia" w:ascii="仿宋_GB2312" w:hAnsi="Times New Roman" w:eastAsia="仿宋_GB2312" w:cs="DengXian-Regular"/>
          <w:sz w:val="32"/>
          <w:szCs w:val="32"/>
        </w:rPr>
        <w:t>。其中，应急保障用车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600" w:lineRule="exac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、本部门</w:t>
      </w:r>
      <w:r>
        <w:rPr>
          <w:rFonts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无政府性基金预算财政拨款收入、支出及结转和结余；本年度无国有资本经营预算财政拨款支出及结转和结余。故政府性基金预算财政拨款收入支出决算表；国有资本经营预算财政拨款支出决算表以空表列示。</w:t>
      </w:r>
    </w:p>
    <w:p>
      <w:pPr>
        <w:adjustRightInd w:val="0"/>
        <w:snapToGrid w:val="0"/>
        <w:spacing w:after="0" w:line="600" w:lineRule="exact"/>
        <w:ind w:firstLine="64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bookmarkStart w:id="2" w:name="_GoBack"/>
      <w:bookmarkEnd w:id="2"/>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focussize="0,0" r:id="rId31"/>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Pr>
        <w:tabs>
          <w:tab w:val="left" w:pos="886"/>
        </w:tabs>
        <w:jc w:val="left"/>
        <w:sectPr>
          <w:headerReference r:id="rId22" w:type="first"/>
          <w:footerReference r:id="rId24" w:type="first"/>
          <w:headerReference r:id="rId21" w:type="default"/>
          <w:footerReference r:id="rId23" w:type="defaul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focussize="0,0" r:id="rId31"/>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236.66</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15.28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51.20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259.99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1.24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287.86</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276.51</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30.72</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42.08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hint="eastAsia" w:ascii="仿宋_GB2312" w:hAnsi="宋体" w:eastAsia="仿宋_GB2312"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318.58</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jc w:val="right"/>
              <w:textAlignment w:val="center"/>
              <w:rPr>
                <w:rFonts w:hint="eastAsia" w:ascii="仿宋_GB2312" w:hAnsi="宋体" w:eastAsia="仿宋_GB2312" w:cs="宋体"/>
                <w:color w:val="000000"/>
                <w:sz w:val="22"/>
              </w:rPr>
            </w:pPr>
            <w:r>
              <w:rPr>
                <w:rFonts w:hint="eastAsia" w:ascii="仿宋_GB2312" w:eastAsia="仿宋_GB2312"/>
              </w:rPr>
              <w:t>318.58</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5465" w:type="pct"/>
        <w:jc w:val="center"/>
        <w:tblLayout w:type="autofit"/>
        <w:tblCellMar>
          <w:top w:w="0" w:type="dxa"/>
          <w:left w:w="0" w:type="dxa"/>
          <w:bottom w:w="0" w:type="dxa"/>
          <w:right w:w="0" w:type="dxa"/>
        </w:tblCellMar>
      </w:tblPr>
      <w:tblGrid>
        <w:gridCol w:w="1565"/>
        <w:gridCol w:w="1862"/>
        <w:gridCol w:w="50"/>
        <w:gridCol w:w="50"/>
        <w:gridCol w:w="609"/>
        <w:gridCol w:w="991"/>
        <w:gridCol w:w="991"/>
        <w:gridCol w:w="852"/>
        <w:gridCol w:w="708"/>
        <w:gridCol w:w="565"/>
        <w:gridCol w:w="1021"/>
        <w:gridCol w:w="684"/>
      </w:tblGrid>
      <w:tr>
        <w:tblPrEx>
          <w:tblCellMar>
            <w:top w:w="0" w:type="dxa"/>
            <w:left w:w="0" w:type="dxa"/>
            <w:bottom w:w="0" w:type="dxa"/>
            <w:right w:w="0" w:type="dxa"/>
          </w:tblCellMar>
        </w:tblPrEx>
        <w:trPr>
          <w:trHeight w:val="670" w:hRule="atLeast"/>
          <w:jc w:val="center"/>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723" w:type="pct"/>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6"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4"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7" w:type="pct"/>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2078" w:type="pct"/>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部门：廊坊市香河县文学艺术界联合会</w:t>
            </w: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6"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41" w:type="pct"/>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07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9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49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42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35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28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513"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34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787"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292" w:type="pct"/>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787"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pct"/>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787"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pct"/>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78" w:type="pct"/>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9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49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42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35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8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51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34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078" w:type="pct"/>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b/>
                <w:color w:val="000000"/>
                <w:sz w:val="22"/>
              </w:rPr>
            </w:pPr>
            <w:r>
              <w:rPr>
                <w:rFonts w:hint="eastAsia" w:ascii="仿宋_GB2312" w:eastAsia="仿宋_GB2312"/>
              </w:rPr>
              <w:t>287.86</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b/>
                <w:color w:val="000000"/>
                <w:sz w:val="22"/>
              </w:rPr>
            </w:pPr>
            <w:r>
              <w:rPr>
                <w:rFonts w:hint="eastAsia" w:ascii="仿宋_GB2312" w:eastAsia="仿宋_GB2312"/>
              </w:rPr>
              <w:t>236.66</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一般公共服务支出</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20101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人大事务</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2010101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15.28</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207</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文化旅游体育与传媒支出</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271.34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220.14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20701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文化和旅游</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271.34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220.14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2070101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263.34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212.14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2070111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文化创作与保护</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8.00</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8.00</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221</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住房保障支出</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hAnsi="宋体" w:eastAsia="仿宋_GB2312" w:cs="宋体"/>
                <w:color w:val="000000"/>
                <w:sz w:val="22"/>
              </w:rPr>
            </w:pPr>
            <w:r>
              <w:rPr>
                <w:rFonts w:hint="eastAsia" w:ascii="仿宋_GB2312" w:eastAsia="仿宋_GB2312"/>
              </w:rPr>
              <w:t>22102</w:t>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住房改革支出</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7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仿宋_GB2312" w:eastAsia="仿宋_GB2312"/>
              </w:rPr>
            </w:pPr>
            <w:r>
              <w:rPr>
                <w:rFonts w:hint="eastAsia" w:ascii="仿宋_GB2312" w:eastAsia="仿宋_GB2312"/>
              </w:rPr>
              <w:t>2210201</w:t>
            </w:r>
            <w:r>
              <w:rPr>
                <w:rFonts w:hint="eastAsia" w:ascii="仿宋_GB2312" w:eastAsia="仿宋_GB2312"/>
              </w:rPr>
              <w:tab/>
            </w:r>
            <w:r>
              <w:rPr>
                <w:rFonts w:hint="eastAsia" w:ascii="仿宋_GB2312" w:eastAsia="仿宋_GB2312"/>
              </w:rPr>
              <w:tab/>
            </w:r>
          </w:p>
        </w:tc>
        <w:tc>
          <w:tcPr>
            <w:tcW w:w="1292" w:type="pct"/>
            <w:gridSpan w:val="4"/>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住房公积金</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宋体" w:eastAsia="仿宋_GB2312" w:cs="宋体"/>
                <w:color w:val="000000"/>
                <w:sz w:val="22"/>
              </w:rPr>
            </w:pPr>
            <w:r>
              <w:rPr>
                <w:rFonts w:hint="eastAsia" w:ascii="仿宋_GB2312" w:eastAsia="仿宋_GB2312"/>
              </w:rPr>
              <w:t>1.24</w:t>
            </w:r>
          </w:p>
        </w:tc>
        <w:tc>
          <w:tcPr>
            <w:tcW w:w="4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5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000" w:type="pct"/>
            <w:gridSpan w:val="1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460"/>
        <w:gridCol w:w="708"/>
        <w:gridCol w:w="993"/>
        <w:gridCol w:w="992"/>
        <w:gridCol w:w="850"/>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5266"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部门：廊坊市香河县文学艺术界联合会</w:t>
            </w: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35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46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56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356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t>276.51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t>268.51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t>8.00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一般公共服务支出</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人大事务</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2010101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15.28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文化旅游体育与传媒支出</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259.99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251.99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8.00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文化和旅游</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259.99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251.99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8.00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251.99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251.99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2070111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文化创作与保护</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8.00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8.00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住房保障支出</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22102</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住房改革支出</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2210201</w:t>
            </w: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住房公积金</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t>1.24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722" w:type="dxa"/>
        <w:jc w:val="center"/>
        <w:tblLayout w:type="fixed"/>
        <w:tblCellMar>
          <w:top w:w="0" w:type="dxa"/>
          <w:left w:w="0" w:type="dxa"/>
          <w:bottom w:w="0" w:type="dxa"/>
          <w:right w:w="0" w:type="dxa"/>
        </w:tblCellMar>
      </w:tblPr>
      <w:tblGrid>
        <w:gridCol w:w="2922"/>
        <w:gridCol w:w="425"/>
        <w:gridCol w:w="662"/>
        <w:gridCol w:w="2946"/>
        <w:gridCol w:w="507"/>
        <w:gridCol w:w="660"/>
        <w:gridCol w:w="708"/>
        <w:gridCol w:w="892"/>
      </w:tblGrid>
      <w:tr>
        <w:tblPrEx>
          <w:tblCellMar>
            <w:top w:w="0" w:type="dxa"/>
            <w:left w:w="0" w:type="dxa"/>
            <w:bottom w:w="0" w:type="dxa"/>
            <w:right w:w="0" w:type="dxa"/>
          </w:tblCellMar>
        </w:tblPrEx>
        <w:trPr>
          <w:trHeight w:val="406" w:hRule="atLeast"/>
          <w:jc w:val="center"/>
        </w:trPr>
        <w:tc>
          <w:tcPr>
            <w:tcW w:w="9722"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400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部门：廊坊市香河县文学艺术界联合会</w:t>
            </w: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713"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8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236.66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220.86</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220.86</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236.66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237.38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237.38</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0.72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0.72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237.38</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237.38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237.38</w:t>
            </w:r>
          </w:p>
        </w:tc>
        <w:tc>
          <w:tcPr>
            <w:tcW w:w="8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722"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10290" w:type="dxa"/>
        <w:jc w:val="center"/>
        <w:tblLayout w:type="autofit"/>
        <w:tblCellMar>
          <w:top w:w="0" w:type="dxa"/>
          <w:left w:w="0" w:type="dxa"/>
          <w:bottom w:w="0" w:type="dxa"/>
          <w:right w:w="0" w:type="dxa"/>
        </w:tblCellMar>
      </w:tblPr>
      <w:tblGrid>
        <w:gridCol w:w="36"/>
        <w:gridCol w:w="36"/>
        <w:gridCol w:w="2384"/>
        <w:gridCol w:w="3059"/>
        <w:gridCol w:w="1698"/>
        <w:gridCol w:w="1479"/>
        <w:gridCol w:w="1602"/>
      </w:tblGrid>
      <w:tr>
        <w:tblPrEx>
          <w:tblCellMar>
            <w:top w:w="0" w:type="dxa"/>
            <w:left w:w="0" w:type="dxa"/>
            <w:bottom w:w="0" w:type="dxa"/>
            <w:right w:w="0" w:type="dxa"/>
          </w:tblCellMar>
        </w:tblPrEx>
        <w:trPr>
          <w:trHeight w:val="600" w:hRule="atLeast"/>
          <w:jc w:val="center"/>
        </w:trPr>
        <w:tc>
          <w:tcPr>
            <w:tcW w:w="102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8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721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部门：廊坊市香河县文学艺术界联合会</w:t>
            </w:r>
          </w:p>
        </w:tc>
        <w:tc>
          <w:tcPr>
            <w:tcW w:w="308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5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77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245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5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0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245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45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5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5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b/>
                <w:color w:val="000000"/>
                <w:sz w:val="22"/>
              </w:rPr>
            </w:pPr>
            <w:r>
              <w:t>237.38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b/>
                <w:color w:val="000000"/>
                <w:sz w:val="22"/>
              </w:rPr>
            </w:pPr>
            <w:r>
              <w:t>229.38</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b/>
                <w:color w:val="000000"/>
                <w:sz w:val="22"/>
              </w:rPr>
            </w:pPr>
            <w:r>
              <w:t>8.00</w:t>
            </w: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一般公共服务支出</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人大事务</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2010101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15.28</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文化旅游体育与传媒支出</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220.86</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212.86</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8.00</w:t>
            </w: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文化和旅游</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220.86</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212.86</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8.00</w:t>
            </w: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行政运行</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212.86</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212.86</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2070111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文化创作与保护</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8.00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8.00</w:t>
            </w: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住房保障支出</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22102</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rPr>
                <w:rFonts w:hint="eastAsia"/>
              </w:rPr>
              <w:t>住房改革支出</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45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2210201</w:t>
            </w:r>
          </w:p>
        </w:tc>
        <w:tc>
          <w:tcPr>
            <w:tcW w:w="30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22"/>
              </w:rPr>
            </w:pPr>
            <w:r>
              <w:t xml:space="preserve">  住房公积金</w:t>
            </w:r>
          </w:p>
        </w:tc>
        <w:tc>
          <w:tcPr>
            <w:tcW w:w="169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1.24</w:t>
            </w:r>
          </w:p>
        </w:tc>
        <w:tc>
          <w:tcPr>
            <w:tcW w:w="1601"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115.52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85.00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33.53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50.07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39.61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7.92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20.04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r>
              <w:t>0.14</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0.01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1.29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0.10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r>
              <w:t>0.14</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10.03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5.10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4.00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0.31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6.73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0.06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28.72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28.72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1.50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9.09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0.50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0.77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1.94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4.71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spacing w:line="220" w:lineRule="exact"/>
              <w:jc w:val="right"/>
              <w:rPr>
                <w:rFonts w:ascii="宋体" w:hAnsi="宋体" w:eastAsia="宋体" w:cs="宋体"/>
                <w:color w:val="000000"/>
                <w:sz w:val="20"/>
                <w:szCs w:val="20"/>
              </w:rPr>
            </w:pPr>
            <w:r>
              <w:t>3.16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144.25</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85.13</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2.40</w:t>
            </w: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1.94</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1.94</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tcPr>
          <w:p>
            <w:pPr>
              <w:jc w:val="right"/>
              <w:rPr>
                <w:rFonts w:ascii="宋体" w:hAnsi="宋体" w:eastAsia="宋体" w:cs="宋体"/>
                <w:color w:val="000000"/>
                <w:sz w:val="22"/>
              </w:rPr>
            </w:pPr>
            <w:r>
              <w:t>1.94</w:t>
            </w: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注：本部门本年度无相关收入（或支出、收支及结转结余等）情况，按要求空表列示</w:t>
      </w:r>
    </w:p>
    <w:p/>
    <w:p/>
    <w:p/>
    <w:p/>
    <w:p/>
    <w:p/>
    <w:p/>
    <w:p/>
    <w:p/>
    <w:p/>
    <w:p/>
    <w:p/>
    <w:p/>
    <w:p/>
    <w:p/>
    <w:p/>
    <w:p/>
    <w:p/>
    <w:p/>
    <w:p/>
    <w:p/>
    <w:p/>
    <w:p/>
    <w:p/>
    <w:p>
      <w:pPr>
        <w:rPr>
          <w:rFonts w:hint="eastAsia"/>
        </w:rPr>
      </w:pPr>
    </w:p>
    <w:tbl>
      <w:tblPr>
        <w:tblStyle w:val="6"/>
        <w:tblW w:w="9917" w:type="dxa"/>
        <w:jc w:val="center"/>
        <w:tblLayout w:type="autofit"/>
        <w:tblCellMar>
          <w:top w:w="0" w:type="dxa"/>
          <w:left w:w="0" w:type="dxa"/>
          <w:bottom w:w="0" w:type="dxa"/>
          <w:right w:w="0" w:type="dxa"/>
        </w:tblCellMar>
      </w:tblPr>
      <w:tblGrid>
        <w:gridCol w:w="1169"/>
        <w:gridCol w:w="67"/>
        <w:gridCol w:w="67"/>
        <w:gridCol w:w="4367"/>
        <w:gridCol w:w="872"/>
        <w:gridCol w:w="1688"/>
        <w:gridCol w:w="1687"/>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注：本部门本年度无相关收入（或支出、收支及结转结余等）情况，按要求空表列示</w:t>
      </w:r>
    </w:p>
    <w:p>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Yu Gothic UI Semibold">
    <w:altName w:val="Meiryo"/>
    <w:panose1 w:val="020B0700000000000000"/>
    <w:charset w:val="80"/>
    <w:family w:val="swiss"/>
    <w:pitch w:val="default"/>
    <w:sig w:usb0="00000000" w:usb1="00000000" w:usb2="00000016" w:usb3="00000000" w:csb0="0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__WRD_EMBED_SUB_42">
    <w:altName w:val="宋体"/>
    <w:panose1 w:val="00000000000000000000"/>
    <w:charset w:val="86"/>
    <w:family w:val="moder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 w:name="___WRD_EMBED_SUB_39">
    <w:altName w:val="宋体"/>
    <w:panose1 w:val="02010600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43.35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D20"/>
    <w:rsid w:val="00073F4E"/>
    <w:rsid w:val="00086C89"/>
    <w:rsid w:val="000A39FB"/>
    <w:rsid w:val="00117746"/>
    <w:rsid w:val="00163F95"/>
    <w:rsid w:val="00180A9A"/>
    <w:rsid w:val="001829C0"/>
    <w:rsid w:val="00184809"/>
    <w:rsid w:val="00192112"/>
    <w:rsid w:val="001B0127"/>
    <w:rsid w:val="001C12D5"/>
    <w:rsid w:val="001C69F7"/>
    <w:rsid w:val="001D6F97"/>
    <w:rsid w:val="002318EF"/>
    <w:rsid w:val="002650EC"/>
    <w:rsid w:val="002A6C46"/>
    <w:rsid w:val="002C19B5"/>
    <w:rsid w:val="003351FA"/>
    <w:rsid w:val="003A4EE8"/>
    <w:rsid w:val="003A76B2"/>
    <w:rsid w:val="00442CC2"/>
    <w:rsid w:val="00446244"/>
    <w:rsid w:val="00473C20"/>
    <w:rsid w:val="004D61CB"/>
    <w:rsid w:val="005011D6"/>
    <w:rsid w:val="00503F2E"/>
    <w:rsid w:val="00552226"/>
    <w:rsid w:val="00566120"/>
    <w:rsid w:val="00582E6D"/>
    <w:rsid w:val="005954D5"/>
    <w:rsid w:val="005A53FA"/>
    <w:rsid w:val="005D1293"/>
    <w:rsid w:val="005E4A6A"/>
    <w:rsid w:val="00605183"/>
    <w:rsid w:val="006072F4"/>
    <w:rsid w:val="006231A1"/>
    <w:rsid w:val="0063213E"/>
    <w:rsid w:val="00644D5F"/>
    <w:rsid w:val="00657F86"/>
    <w:rsid w:val="006727AD"/>
    <w:rsid w:val="00691425"/>
    <w:rsid w:val="006A516E"/>
    <w:rsid w:val="006B0830"/>
    <w:rsid w:val="00700063"/>
    <w:rsid w:val="00716E2B"/>
    <w:rsid w:val="00770F18"/>
    <w:rsid w:val="00773B74"/>
    <w:rsid w:val="0078290C"/>
    <w:rsid w:val="007920C3"/>
    <w:rsid w:val="00794C02"/>
    <w:rsid w:val="007C06CA"/>
    <w:rsid w:val="008163FB"/>
    <w:rsid w:val="0082605B"/>
    <w:rsid w:val="00851B3B"/>
    <w:rsid w:val="00855C36"/>
    <w:rsid w:val="00857DBE"/>
    <w:rsid w:val="008701BC"/>
    <w:rsid w:val="00883D92"/>
    <w:rsid w:val="008A5362"/>
    <w:rsid w:val="008F21F1"/>
    <w:rsid w:val="008F221B"/>
    <w:rsid w:val="008F5A2D"/>
    <w:rsid w:val="00921602"/>
    <w:rsid w:val="00952267"/>
    <w:rsid w:val="00957EA1"/>
    <w:rsid w:val="00966E5B"/>
    <w:rsid w:val="009B4EF0"/>
    <w:rsid w:val="009D271F"/>
    <w:rsid w:val="009F0C9B"/>
    <w:rsid w:val="00A061D9"/>
    <w:rsid w:val="00A84DE7"/>
    <w:rsid w:val="00A929C2"/>
    <w:rsid w:val="00AD097F"/>
    <w:rsid w:val="00AF24BB"/>
    <w:rsid w:val="00AF48EB"/>
    <w:rsid w:val="00B017C0"/>
    <w:rsid w:val="00B251A3"/>
    <w:rsid w:val="00B844F4"/>
    <w:rsid w:val="00BA06A1"/>
    <w:rsid w:val="00BA770A"/>
    <w:rsid w:val="00C054DE"/>
    <w:rsid w:val="00C679A9"/>
    <w:rsid w:val="00C7541C"/>
    <w:rsid w:val="00CC0FAA"/>
    <w:rsid w:val="00CC5E9E"/>
    <w:rsid w:val="00CD0736"/>
    <w:rsid w:val="00CE4EFB"/>
    <w:rsid w:val="00D1171E"/>
    <w:rsid w:val="00D1570F"/>
    <w:rsid w:val="00D32830"/>
    <w:rsid w:val="00DB7153"/>
    <w:rsid w:val="00DB7F05"/>
    <w:rsid w:val="00DC3E75"/>
    <w:rsid w:val="00DD4D48"/>
    <w:rsid w:val="00DE2332"/>
    <w:rsid w:val="00E028C3"/>
    <w:rsid w:val="00E14F77"/>
    <w:rsid w:val="00E3076B"/>
    <w:rsid w:val="00E368E0"/>
    <w:rsid w:val="00E36978"/>
    <w:rsid w:val="00E449D8"/>
    <w:rsid w:val="00E82A1E"/>
    <w:rsid w:val="00E93A19"/>
    <w:rsid w:val="00EA05EC"/>
    <w:rsid w:val="00EC06F4"/>
    <w:rsid w:val="00EE4E36"/>
    <w:rsid w:val="00EF295E"/>
    <w:rsid w:val="00F665F4"/>
    <w:rsid w:val="00FD225F"/>
    <w:rsid w:val="00FF147A"/>
    <w:rsid w:val="05B00A30"/>
    <w:rsid w:val="0B011416"/>
    <w:rsid w:val="31C2036A"/>
    <w:rsid w:val="320D02A5"/>
    <w:rsid w:val="348E566F"/>
    <w:rsid w:val="3A226944"/>
    <w:rsid w:val="3AD46A0D"/>
    <w:rsid w:val="3AEE6A48"/>
    <w:rsid w:val="3C1620AA"/>
    <w:rsid w:val="3D8F080F"/>
    <w:rsid w:val="44CE1FA4"/>
    <w:rsid w:val="487F73ED"/>
    <w:rsid w:val="4A347EAE"/>
    <w:rsid w:val="52600405"/>
    <w:rsid w:val="529B4319"/>
    <w:rsid w:val="53311747"/>
    <w:rsid w:val="57773DD6"/>
    <w:rsid w:val="578B79AB"/>
    <w:rsid w:val="58422FFC"/>
    <w:rsid w:val="5CCD3FD5"/>
    <w:rsid w:val="61FA5F9D"/>
    <w:rsid w:val="62A55D11"/>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basedOn w:val="8"/>
    <w:link w:val="5"/>
    <w:qFormat/>
    <w:uiPriority w:val="99"/>
    <w:rPr>
      <w:rFonts w:asciiTheme="minorHAnsi" w:hAnsiTheme="minorHAns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5.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bmp"/><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fish\Desktop\&#26032;&#24314;%20Microsoft%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fish\Desktop\&#26032;&#24314;%20Microsoft%20Excel%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fish\Desktop\&#26032;&#24314;%20Microsoft%20Excel%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fish\Desktop\&#26032;&#24314;%20Microsoft%20Excel%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fish\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800" b="0" i="0" baseline="0">
                <a:effectLst/>
              </a:rPr>
              <a:t>收入决算情况说明</a:t>
            </a:r>
            <a:endParaRPr lang="zh-CN" altLang="zh-CN">
              <a:effectLst/>
            </a:endParaRPr>
          </a:p>
        </c:rich>
      </c:tx>
      <c:layout/>
      <c:overlay val="0"/>
      <c:spPr>
        <a:noFill/>
        <a:ln>
          <a:noFill/>
        </a:ln>
        <a:effectLst/>
      </c:spPr>
    </c:title>
    <c:autoTitleDeleted val="0"/>
    <c:plotArea>
      <c:layout/>
      <c:barChart>
        <c:barDir val="col"/>
        <c:grouping val="clustered"/>
        <c:varyColors val="0"/>
        <c:ser>
          <c:idx val="0"/>
          <c:order val="0"/>
          <c:tx>
            <c:strRef>
              <c:f>Sheet2!$I$8</c:f>
              <c:strCache>
                <c:ptCount val="1"/>
                <c:pt idx="0">
                  <c:v>一般公共预算财政拨款收入</c:v>
                </c:pt>
              </c:strCache>
            </c:strRef>
          </c:tx>
          <c:spPr>
            <a:solidFill>
              <a:schemeClr val="accent1"/>
            </a:solidFill>
            <a:ln>
              <a:noFill/>
            </a:ln>
            <a:effectLst/>
            <a:sp3d/>
          </c:spPr>
          <c:invertIfNegative val="0"/>
          <c:dLbls>
            <c:delete val="1"/>
          </c:dLbls>
          <c:cat>
            <c:strRef>
              <c:f>Sheet2!$J$7:$K$7</c:f>
              <c:strCache>
                <c:ptCount val="2"/>
                <c:pt idx="0">
                  <c:v>金额</c:v>
                </c:pt>
                <c:pt idx="1">
                  <c:v>百分比</c:v>
                </c:pt>
              </c:strCache>
            </c:strRef>
          </c:cat>
          <c:val>
            <c:numRef>
              <c:f>Sheet2!$J$8:$K$8</c:f>
              <c:numCache>
                <c:formatCode>General</c:formatCode>
                <c:ptCount val="2"/>
                <c:pt idx="0">
                  <c:v>236.66</c:v>
                </c:pt>
                <c:pt idx="1" c:formatCode="#,##0.00_ ">
                  <c:v>82</c:v>
                </c:pt>
              </c:numCache>
            </c:numRef>
          </c:val>
        </c:ser>
        <c:ser>
          <c:idx val="1"/>
          <c:order val="1"/>
          <c:tx>
            <c:strRef>
              <c:f>Sheet2!$I$9</c:f>
              <c:strCache>
                <c:ptCount val="1"/>
                <c:pt idx="0">
                  <c:v>其他收入</c:v>
                </c:pt>
              </c:strCache>
            </c:strRef>
          </c:tx>
          <c:spPr>
            <a:solidFill>
              <a:schemeClr val="accent2"/>
            </a:solidFill>
            <a:ln>
              <a:noFill/>
            </a:ln>
            <a:effectLst/>
            <a:sp3d/>
          </c:spPr>
          <c:invertIfNegative val="0"/>
          <c:dLbls>
            <c:delete val="1"/>
          </c:dLbls>
          <c:cat>
            <c:strRef>
              <c:f>Sheet2!$J$7:$K$7</c:f>
              <c:strCache>
                <c:ptCount val="2"/>
                <c:pt idx="0">
                  <c:v>金额</c:v>
                </c:pt>
                <c:pt idx="1">
                  <c:v>百分比</c:v>
                </c:pt>
              </c:strCache>
            </c:strRef>
          </c:cat>
          <c:val>
            <c:numRef>
              <c:f>Sheet2!$J$9:$K$9</c:f>
              <c:numCache>
                <c:formatCode>General</c:formatCode>
                <c:ptCount val="2"/>
                <c:pt idx="0">
                  <c:v>51.2</c:v>
                </c:pt>
                <c:pt idx="1" c:formatCode="#,##0.00_ ">
                  <c:v>18</c:v>
                </c:pt>
              </c:numCache>
            </c:numRef>
          </c:val>
        </c:ser>
        <c:dLbls>
          <c:showLegendKey val="0"/>
          <c:showVal val="0"/>
          <c:showCatName val="0"/>
          <c:showSerName val="0"/>
          <c:showPercent val="0"/>
          <c:showBubbleSize val="0"/>
        </c:dLbls>
        <c:gapWidth val="150"/>
        <c:axId val="1443310672"/>
        <c:axId val="1396317408"/>
      </c:barChart>
      <c:catAx>
        <c:axId val="144331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6317408"/>
        <c:crosses val="autoZero"/>
        <c:auto val="1"/>
        <c:lblAlgn val="ctr"/>
        <c:lblOffset val="100"/>
        <c:noMultiLvlLbl val="0"/>
      </c:catAx>
      <c:valAx>
        <c:axId val="13963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3310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r>
              <a:rPr lang="zh-CN"/>
              <a:t>支出决算情况说明</a:t>
            </a:r>
            <a:endParaRPr lang="en-US"/>
          </a:p>
        </c:rich>
      </c:tx>
      <c:layout/>
      <c:overlay val="0"/>
      <c:spPr>
        <a:noFill/>
        <a:ln>
          <a:noFill/>
        </a:ln>
        <a:effectLst/>
      </c:spPr>
    </c:title>
    <c:autoTitleDeleted val="0"/>
    <c:plotArea>
      <c:layout/>
      <c:barChart>
        <c:barDir val="col"/>
        <c:grouping val="clustered"/>
        <c:varyColors val="0"/>
        <c:ser>
          <c:idx val="0"/>
          <c:order val="0"/>
          <c:tx>
            <c:strRef>
              <c:f>Sheet2!$B$5</c:f>
              <c:strCache>
                <c:ptCount val="1"/>
                <c:pt idx="0">
                  <c:v>基本支出</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elete val="1"/>
          </c:dLbls>
          <c:cat>
            <c:strRef>
              <c:f>Sheet2!$C$4:$D$4</c:f>
              <c:strCache>
                <c:ptCount val="2"/>
                <c:pt idx="0">
                  <c:v>金额</c:v>
                </c:pt>
                <c:pt idx="1">
                  <c:v>百分比</c:v>
                </c:pt>
              </c:strCache>
            </c:strRef>
          </c:cat>
          <c:val>
            <c:numRef>
              <c:f>Sheet2!$C$5:$D$5</c:f>
              <c:numCache>
                <c:formatCode>0.00_);[Red]\(0.00\)</c:formatCode>
                <c:ptCount val="2"/>
                <c:pt idx="0">
                  <c:v>268.51</c:v>
                </c:pt>
                <c:pt idx="1">
                  <c:v>97.11</c:v>
                </c:pt>
              </c:numCache>
            </c:numRef>
          </c:val>
        </c:ser>
        <c:ser>
          <c:idx val="1"/>
          <c:order val="1"/>
          <c:tx>
            <c:strRef>
              <c:f>Sheet2!$B$6</c:f>
              <c:strCache>
                <c:ptCount val="1"/>
                <c:pt idx="0">
                  <c:v>项目支出</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delete val="1"/>
          </c:dLbls>
          <c:cat>
            <c:strRef>
              <c:f>Sheet2!$C$4:$D$4</c:f>
              <c:strCache>
                <c:ptCount val="2"/>
                <c:pt idx="0">
                  <c:v>金额</c:v>
                </c:pt>
                <c:pt idx="1">
                  <c:v>百分比</c:v>
                </c:pt>
              </c:strCache>
            </c:strRef>
          </c:cat>
          <c:val>
            <c:numRef>
              <c:f>Sheet2!$C$6:$D$6</c:f>
              <c:numCache>
                <c:formatCode>0.00_);[Red]\(0.00\)</c:formatCode>
                <c:ptCount val="2"/>
                <c:pt idx="0">
                  <c:v>8</c:v>
                </c:pt>
                <c:pt idx="1">
                  <c:v>3</c:v>
                </c:pt>
              </c:numCache>
            </c:numRef>
          </c:val>
        </c:ser>
        <c:dLbls>
          <c:showLegendKey val="0"/>
          <c:showVal val="0"/>
          <c:showCatName val="0"/>
          <c:showSerName val="0"/>
          <c:showPercent val="0"/>
          <c:showBubbleSize val="0"/>
        </c:dLbls>
        <c:gapWidth val="150"/>
        <c:axId val="1610712800"/>
        <c:axId val="1608176224"/>
      </c:barChart>
      <c:catAx>
        <c:axId val="161071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1608176224"/>
        <c:crosses val="autoZero"/>
        <c:auto val="1"/>
        <c:lblAlgn val="ctr"/>
        <c:lblOffset val="100"/>
        <c:noMultiLvlLbl val="0"/>
      </c:catAx>
      <c:valAx>
        <c:axId val="160817622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161071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收支决算对比</a:t>
            </a:r>
            <a:endParaRPr lang="en-US" altLang="zh-CN"/>
          </a:p>
          <a:p>
            <a:pPr>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standard"/>
        <c:varyColors val="0"/>
        <c:ser>
          <c:idx val="0"/>
          <c:order val="0"/>
          <c:tx>
            <c:strRef>
              <c:f>Sheet3!$F$6</c:f>
              <c:strCache>
                <c:ptCount val="1"/>
                <c:pt idx="0">
                  <c:v>金额</c:v>
                </c:pt>
              </c:strCache>
            </c:strRef>
          </c:tx>
          <c:spPr>
            <a:solidFill>
              <a:schemeClr val="accent1"/>
            </a:solidFill>
            <a:ln>
              <a:noFill/>
            </a:ln>
            <a:effectLst/>
            <a:sp3d/>
          </c:spPr>
          <c:invertIfNegative val="0"/>
          <c:dLbls>
            <c:delete val="1"/>
          </c:dLbls>
          <c:cat>
            <c:strRef>
              <c:f>Sheet3!$G$5:$K$5</c:f>
              <c:strCache>
                <c:ptCount val="5"/>
                <c:pt idx="0">
                  <c:v>2019年拨款收入</c:v>
                </c:pt>
                <c:pt idx="1">
                  <c:v>2018年拨款收入</c:v>
                </c:pt>
                <c:pt idx="3">
                  <c:v>2019年拨款支出</c:v>
                </c:pt>
                <c:pt idx="4">
                  <c:v>2018年拨款支出</c:v>
                </c:pt>
              </c:strCache>
            </c:strRef>
          </c:cat>
          <c:val>
            <c:numRef>
              <c:f>Sheet3!$G$6:$K$6</c:f>
              <c:numCache>
                <c:formatCode>_(* #,##0.00_);_(* \(#,##0.00\);_(* "-"??_);_(@_)</c:formatCode>
                <c:ptCount val="5"/>
                <c:pt idx="0">
                  <c:v>236.66</c:v>
                </c:pt>
                <c:pt idx="1">
                  <c:v>189.43</c:v>
                </c:pt>
                <c:pt idx="3">
                  <c:v>276.51</c:v>
                </c:pt>
                <c:pt idx="4">
                  <c:v>195.06</c:v>
                </c:pt>
              </c:numCache>
            </c:numRef>
          </c:val>
        </c:ser>
        <c:dLbls>
          <c:showLegendKey val="0"/>
          <c:showVal val="0"/>
          <c:showCatName val="0"/>
          <c:showSerName val="0"/>
          <c:showPercent val="0"/>
          <c:showBubbleSize val="0"/>
        </c:dLbls>
        <c:gapWidth val="150"/>
        <c:axId val="1449623808"/>
        <c:axId val="1452246000"/>
      </c:barChart>
      <c:catAx>
        <c:axId val="1449623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2246000"/>
        <c:crosses val="autoZero"/>
        <c:auto val="1"/>
        <c:lblAlgn val="ctr"/>
        <c:lblOffset val="100"/>
        <c:noMultiLvlLbl val="0"/>
      </c:catAx>
      <c:valAx>
        <c:axId val="145224600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962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8641105791424"/>
          <c:y val="0.0452398412363763"/>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Sheet4!$C$5</c:f>
              <c:strCache>
                <c:ptCount val="1"/>
                <c:pt idx="0">
                  <c:v>财政拨款收支与年初预算数对比情况</c:v>
                </c:pt>
              </c:strCache>
            </c:strRef>
          </c:tx>
          <c:spPr>
            <a:solidFill>
              <a:schemeClr val="accent1"/>
            </a:solidFill>
            <a:ln>
              <a:noFill/>
            </a:ln>
            <a:effectLst/>
          </c:spPr>
          <c:invertIfNegative val="0"/>
          <c:dLbls>
            <c:delete val="1"/>
          </c:dLbls>
          <c:cat>
            <c:strRef>
              <c:f>Sheet4!$D$4:$H$4</c:f>
              <c:strCache>
                <c:ptCount val="5"/>
                <c:pt idx="0">
                  <c:v>年初预算收入</c:v>
                </c:pt>
                <c:pt idx="1">
                  <c:v>决算收入</c:v>
                </c:pt>
                <c:pt idx="3">
                  <c:v>年初预算支出</c:v>
                </c:pt>
                <c:pt idx="4">
                  <c:v>决算支出</c:v>
                </c:pt>
              </c:strCache>
            </c:strRef>
          </c:cat>
          <c:val>
            <c:numRef>
              <c:f>Sheet4!$D$5:$H$5</c:f>
              <c:numCache>
                <c:formatCode>_(* #,##0.00_);_(* \(#,##0.00\);_(* "-"??_);_(@_)</c:formatCode>
                <c:ptCount val="5"/>
                <c:pt idx="0">
                  <c:v>216.88</c:v>
                </c:pt>
                <c:pt idx="1">
                  <c:v>236.66</c:v>
                </c:pt>
                <c:pt idx="3">
                  <c:v>216.88</c:v>
                </c:pt>
                <c:pt idx="4">
                  <c:v>276.51</c:v>
                </c:pt>
              </c:numCache>
            </c:numRef>
          </c:val>
        </c:ser>
        <c:dLbls>
          <c:showLegendKey val="0"/>
          <c:showVal val="0"/>
          <c:showCatName val="0"/>
          <c:showSerName val="0"/>
          <c:showPercent val="0"/>
          <c:showBubbleSize val="0"/>
        </c:dLbls>
        <c:gapWidth val="219"/>
        <c:overlap val="-27"/>
        <c:axId val="1393550320"/>
        <c:axId val="1452247248"/>
      </c:barChart>
      <c:catAx>
        <c:axId val="139355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2247248"/>
        <c:crosses val="autoZero"/>
        <c:auto val="1"/>
        <c:lblAlgn val="ctr"/>
        <c:lblOffset val="100"/>
        <c:noMultiLvlLbl val="0"/>
      </c:catAx>
      <c:valAx>
        <c:axId val="145224724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355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财政拨款支出决算结构情况</a:t>
            </a:r>
            <a:endParaRPr lang="zh-CN" altLang="en-US"/>
          </a:p>
        </c:rich>
      </c:tx>
      <c:layout/>
      <c:overlay val="0"/>
      <c:spPr>
        <a:noFill/>
        <a:ln>
          <a:noFill/>
        </a:ln>
        <a:effectLst/>
      </c:spPr>
    </c:title>
    <c:autoTitleDeleted val="0"/>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Sheet5!$I$6:$I$8</c:f>
              <c:strCache>
                <c:ptCount val="3"/>
                <c:pt idx="0">
                  <c:v>一般公共服务</c:v>
                </c:pt>
                <c:pt idx="1">
                  <c:v>文化旅游体育与传媒支出</c:v>
                </c:pt>
                <c:pt idx="2">
                  <c:v>住房保障</c:v>
                </c:pt>
              </c:strCache>
            </c:strRef>
          </c:cat>
          <c:val>
            <c:numRef>
              <c:f>Sheet5!$J$6:$J$8</c:f>
              <c:numCache>
                <c:formatCode>0.00%</c:formatCode>
                <c:ptCount val="3"/>
                <c:pt idx="0">
                  <c:v>0.0644</c:v>
                </c:pt>
                <c:pt idx="1">
                  <c:v>0.9304</c:v>
                </c:pt>
                <c:pt idx="2">
                  <c:v>0.0522</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31</Pages>
  <Words>1710</Words>
  <Characters>9751</Characters>
  <Lines>81</Lines>
  <Paragraphs>22</Paragraphs>
  <TotalTime>0</TotalTime>
  <ScaleCrop>false</ScaleCrop>
  <LinksUpToDate>false</LinksUpToDate>
  <CharactersWithSpaces>11439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行者</cp:lastModifiedBy>
  <cp:lastPrinted>2020-07-30T02:37:00Z</cp:lastPrinted>
  <dcterms:modified xsi:type="dcterms:W3CDTF">2020-09-29T14:50:50Z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